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19" w:rsidRPr="00FB4119" w:rsidRDefault="00CD4318" w:rsidP="00DE0A5A">
      <w:pPr>
        <w:jc w:val="center"/>
        <w:rPr>
          <w:b/>
          <w:sz w:val="32"/>
          <w:szCs w:val="32"/>
        </w:rPr>
      </w:pPr>
      <w:r w:rsidRPr="00FB4119">
        <w:rPr>
          <w:b/>
          <w:sz w:val="32"/>
          <w:szCs w:val="32"/>
        </w:rPr>
        <w:t>Уважаемые к</w:t>
      </w:r>
      <w:r w:rsidR="00CF775F" w:rsidRPr="00FB4119">
        <w:rPr>
          <w:b/>
          <w:sz w:val="32"/>
          <w:szCs w:val="32"/>
        </w:rPr>
        <w:t>оллеги!</w:t>
      </w:r>
    </w:p>
    <w:p w:rsidR="00CF775F" w:rsidRPr="00EC3AF9" w:rsidRDefault="00CF775F" w:rsidP="00BB78DD">
      <w:pPr>
        <w:ind w:firstLine="567"/>
      </w:pPr>
      <w:r w:rsidRPr="00EC3AF9">
        <w:t xml:space="preserve">В настоящее время участниками </w:t>
      </w:r>
      <w:r w:rsidR="00CD4318" w:rsidRPr="00EC3AF9">
        <w:t xml:space="preserve">российского ювелирного </w:t>
      </w:r>
      <w:r w:rsidRPr="00EC3AF9">
        <w:t xml:space="preserve">рынка </w:t>
      </w:r>
      <w:r w:rsidR="00375139" w:rsidRPr="00EC3AF9">
        <w:t xml:space="preserve">уже </w:t>
      </w:r>
      <w:r w:rsidRPr="00EC3AF9">
        <w:t>пройден</w:t>
      </w:r>
      <w:r w:rsidR="008F3C1D" w:rsidRPr="00EC3AF9">
        <w:t>ы</w:t>
      </w:r>
      <w:r w:rsidRPr="00EC3AF9">
        <w:t xml:space="preserve"> 3 этапа внедрения </w:t>
      </w:r>
      <w:r w:rsidR="008F3C1D" w:rsidRPr="00EC3AF9">
        <w:t xml:space="preserve">системы </w:t>
      </w:r>
      <w:r w:rsidRPr="00EC3AF9">
        <w:t>ГИИС ДМДК:</w:t>
      </w:r>
    </w:p>
    <w:p w:rsidR="00AB3BF8" w:rsidRPr="00EC3AF9" w:rsidRDefault="00AB3BF8" w:rsidP="00AB3BF8">
      <w:pPr>
        <w:pStyle w:val="a3"/>
        <w:numPr>
          <w:ilvl w:val="0"/>
          <w:numId w:val="1"/>
        </w:numPr>
      </w:pPr>
      <w:r w:rsidRPr="00EC3AF9">
        <w:t>п</w:t>
      </w:r>
      <w:r w:rsidR="008F3C1D" w:rsidRPr="00EC3AF9">
        <w:t xml:space="preserve">остановка на специальный учёт в </w:t>
      </w:r>
      <w:r w:rsidRPr="00EC3AF9">
        <w:t xml:space="preserve">ГИИС ДМДК; </w:t>
      </w:r>
    </w:p>
    <w:p w:rsidR="00CF775F" w:rsidRPr="00EC3AF9" w:rsidRDefault="00AB3BF8" w:rsidP="00AB3BF8">
      <w:pPr>
        <w:pStyle w:val="a3"/>
        <w:numPr>
          <w:ilvl w:val="0"/>
          <w:numId w:val="1"/>
        </w:numPr>
      </w:pPr>
      <w:r w:rsidRPr="00EC3AF9">
        <w:t>р</w:t>
      </w:r>
      <w:r w:rsidR="00CF775F" w:rsidRPr="00EC3AF9">
        <w:t>егистрация именников на 2022 год в ГИИС ДМДК</w:t>
      </w:r>
      <w:r w:rsidRPr="00EC3AF9">
        <w:t>;</w:t>
      </w:r>
    </w:p>
    <w:p w:rsidR="00431DE4" w:rsidRDefault="00AB3BF8" w:rsidP="00431DE4">
      <w:pPr>
        <w:pStyle w:val="a3"/>
        <w:numPr>
          <w:ilvl w:val="0"/>
          <w:numId w:val="1"/>
        </w:numPr>
      </w:pPr>
      <w:r w:rsidRPr="00EC3AF9">
        <w:t>п</w:t>
      </w:r>
      <w:r w:rsidR="00AE0648" w:rsidRPr="00EC3AF9">
        <w:t>ередача сведений об остатках в ГИИС ДМДК.</w:t>
      </w:r>
    </w:p>
    <w:p w:rsidR="00431DE4" w:rsidRDefault="00431DE4" w:rsidP="00431DE4">
      <w:pPr>
        <w:pStyle w:val="a3"/>
      </w:pPr>
    </w:p>
    <w:p w:rsidR="00375139" w:rsidRPr="00EC3AF9" w:rsidRDefault="00375139" w:rsidP="00431DE4">
      <w:pPr>
        <w:pStyle w:val="a3"/>
        <w:ind w:hanging="153"/>
      </w:pPr>
      <w:r w:rsidRPr="00EC3AF9">
        <w:t>Ювелирный рынок ожидает освоение ещё трёх очередных этапов внедрения системы:</w:t>
      </w:r>
    </w:p>
    <w:p w:rsidR="00375139" w:rsidRPr="00EC3AF9" w:rsidRDefault="00375139" w:rsidP="00375139">
      <w:pPr>
        <w:pStyle w:val="a3"/>
        <w:numPr>
          <w:ilvl w:val="0"/>
          <w:numId w:val="1"/>
        </w:numPr>
      </w:pPr>
      <w:r w:rsidRPr="00EC3AF9">
        <w:t xml:space="preserve">корректировка </w:t>
      </w:r>
      <w:r w:rsidR="00DE509E">
        <w:t>по</w:t>
      </w:r>
      <w:r w:rsidRPr="00EC3AF9">
        <w:t>данных сведений об остатках;</w:t>
      </w:r>
    </w:p>
    <w:p w:rsidR="00375139" w:rsidRPr="00EC3AF9" w:rsidRDefault="00375139" w:rsidP="00375139">
      <w:pPr>
        <w:pStyle w:val="a3"/>
        <w:numPr>
          <w:ilvl w:val="0"/>
          <w:numId w:val="1"/>
        </w:numPr>
      </w:pPr>
      <w:r w:rsidRPr="00EC3AF9">
        <w:t>присвоение УИНов выпускаемой продукции;</w:t>
      </w:r>
    </w:p>
    <w:p w:rsidR="00375139" w:rsidRPr="00EC3AF9" w:rsidRDefault="00375139" w:rsidP="00375139">
      <w:pPr>
        <w:pStyle w:val="a3"/>
        <w:numPr>
          <w:ilvl w:val="0"/>
          <w:numId w:val="1"/>
        </w:numPr>
      </w:pPr>
      <w:r w:rsidRPr="00EC3AF9">
        <w:t>передача сведений об обороте и о выводе из оборота ювелирных изделий.</w:t>
      </w:r>
    </w:p>
    <w:p w:rsidR="00FB4119" w:rsidRPr="000D2CEF" w:rsidRDefault="00844F63" w:rsidP="00E75393">
      <w:pPr>
        <w:ind w:firstLine="567"/>
      </w:pPr>
      <w:r w:rsidRPr="00EC3AF9">
        <w:t>С целью</w:t>
      </w:r>
      <w:r w:rsidR="000866FE">
        <w:t xml:space="preserve"> формирования</w:t>
      </w:r>
      <w:r w:rsidRPr="00EC3AF9">
        <w:t xml:space="preserve"> объективной оценки качества разработки, работоспособности и удобства пользования </w:t>
      </w:r>
      <w:r w:rsidR="006577B8" w:rsidRPr="00EC3AF9">
        <w:t xml:space="preserve">системой, просим вас оценить первые три этапа </w:t>
      </w:r>
      <w:r w:rsidR="00E75393">
        <w:t xml:space="preserve">её </w:t>
      </w:r>
      <w:r w:rsidR="006577B8" w:rsidRPr="00EC3AF9">
        <w:t>внедрения по пятибал</w:t>
      </w:r>
      <w:r w:rsidR="00BB78DD" w:rsidRPr="00EC3AF9">
        <w:t>л</w:t>
      </w:r>
      <w:r w:rsidR="006577B8" w:rsidRPr="00EC3AF9">
        <w:t xml:space="preserve">ьной шкале </w:t>
      </w:r>
      <w:r w:rsidR="006F6243" w:rsidRPr="00EC3AF9">
        <w:t>(</w:t>
      </w:r>
      <w:r w:rsidR="00FB4119" w:rsidRPr="00EC3AF9">
        <w:t>таблица прилагается на отдельной странице).</w:t>
      </w:r>
      <w:r w:rsidR="00DE0A5A">
        <w:t xml:space="preserve"> По результатам</w:t>
      </w:r>
      <w:r w:rsidR="00E75393">
        <w:t xml:space="preserve"> </w:t>
      </w:r>
      <w:r w:rsidR="00DE0A5A">
        <w:t xml:space="preserve">опроса </w:t>
      </w:r>
      <w:r w:rsidR="00713CF7">
        <w:t>Ассоциация «Гильдия ювелиров» произведёт</w:t>
      </w:r>
      <w:r w:rsidR="00DE0A5A">
        <w:t xml:space="preserve"> итоговый подсчёт. Результаты будут направлены</w:t>
      </w:r>
      <w:r w:rsidR="00116216" w:rsidRPr="00EC3AF9">
        <w:t xml:space="preserve"> в профильные ФОИВы для улучшения </w:t>
      </w:r>
      <w:r w:rsidR="00E75393">
        <w:t>функционирования</w:t>
      </w:r>
      <w:r w:rsidR="00116216" w:rsidRPr="00EC3AF9">
        <w:t xml:space="preserve"> системы</w:t>
      </w:r>
      <w:r w:rsidR="00DE0A5A">
        <w:t xml:space="preserve"> и облегчения</w:t>
      </w:r>
      <w:r w:rsidR="00E75393">
        <w:t xml:space="preserve"> про</w:t>
      </w:r>
      <w:r w:rsidR="00EC3AF9" w:rsidRPr="00EC3AF9">
        <w:t>хо</w:t>
      </w:r>
      <w:r w:rsidR="00E75393">
        <w:t>ждени</w:t>
      </w:r>
      <w:r w:rsidR="003C3B50">
        <w:t>я</w:t>
      </w:r>
      <w:r w:rsidR="00E75393">
        <w:t xml:space="preserve"> следующих этапов внедрения ГИИС ДМДК</w:t>
      </w:r>
      <w:r w:rsidR="00DE0A5A">
        <w:t xml:space="preserve"> для участников</w:t>
      </w:r>
      <w:r w:rsidR="001A174B">
        <w:t xml:space="preserve"> </w:t>
      </w:r>
      <w:r w:rsidR="00DE0A5A">
        <w:t>рынка</w:t>
      </w:r>
      <w:r w:rsidR="00E75393">
        <w:t xml:space="preserve">. </w:t>
      </w:r>
      <w:r w:rsidR="000D2CEF">
        <w:t xml:space="preserve">Заполненную таблицу присылать на почту </w:t>
      </w:r>
      <w:r w:rsidR="000D2CEF">
        <w:rPr>
          <w:color w:val="000000"/>
          <w:shd w:val="clear" w:color="auto" w:fill="FFFFFF"/>
        </w:rPr>
        <w:t>gildia-1@inbox.ru</w:t>
      </w:r>
    </w:p>
    <w:p w:rsidR="00DB1BFC" w:rsidRPr="00EC3AF9" w:rsidRDefault="00DB1BFC" w:rsidP="00E75393">
      <w:pPr>
        <w:ind w:firstLine="567"/>
      </w:pPr>
      <w:bookmarkStart w:id="0" w:name="_GoBack"/>
      <w:bookmarkEnd w:id="0"/>
    </w:p>
    <w:p w:rsidR="00433061" w:rsidRPr="00EC3AF9" w:rsidRDefault="00433061" w:rsidP="00431DE4">
      <w:pPr>
        <w:pBdr>
          <w:bottom w:val="single" w:sz="12" w:space="1" w:color="auto"/>
        </w:pBdr>
        <w:ind w:firstLine="567"/>
      </w:pPr>
      <w:r w:rsidRPr="00EC3AF9">
        <w:t>Название компании или ИП</w:t>
      </w:r>
      <w:r w:rsidR="002B5DD0" w:rsidRPr="00EC3AF9">
        <w:t xml:space="preserve"> и контактные данные (почта, телефон)</w:t>
      </w:r>
    </w:p>
    <w:p w:rsidR="002B5DD0" w:rsidRPr="00EC3AF9" w:rsidRDefault="002B5DD0">
      <w:pPr>
        <w:pBdr>
          <w:bottom w:val="single" w:sz="12" w:space="1" w:color="auto"/>
        </w:pBdr>
      </w:pPr>
    </w:p>
    <w:p w:rsidR="00433061" w:rsidRPr="00EC3AF9" w:rsidRDefault="00433061"/>
    <w:p w:rsidR="0070039F" w:rsidRDefault="0070039F" w:rsidP="0070039F">
      <w:pPr>
        <w:pBdr>
          <w:bottom w:val="single" w:sz="12" w:space="1" w:color="auto"/>
        </w:pBdr>
        <w:ind w:firstLine="567"/>
      </w:pPr>
    </w:p>
    <w:p w:rsidR="001731F9" w:rsidRPr="00EC3AF9" w:rsidRDefault="002B5DD0" w:rsidP="0070039F">
      <w:pPr>
        <w:pBdr>
          <w:bottom w:val="single" w:sz="12" w:space="1" w:color="auto"/>
        </w:pBdr>
        <w:ind w:firstLine="567"/>
      </w:pPr>
      <w:r w:rsidRPr="00EC3AF9">
        <w:t xml:space="preserve">Дата, </w:t>
      </w:r>
      <w:r w:rsidR="00433061" w:rsidRPr="00EC3AF9">
        <w:t>ФИО и подпись</w:t>
      </w:r>
      <w:r w:rsidR="001731F9" w:rsidRPr="00EC3AF9">
        <w:t xml:space="preserve"> представителя организации или ИП</w:t>
      </w:r>
    </w:p>
    <w:p w:rsidR="00EF5CC4" w:rsidRPr="00EC3AF9" w:rsidRDefault="00EF5CC4">
      <w:pPr>
        <w:pBdr>
          <w:bottom w:val="single" w:sz="12" w:space="1" w:color="auto"/>
        </w:pBdr>
      </w:pPr>
    </w:p>
    <w:p w:rsidR="00EF5CC4" w:rsidRDefault="00EF5CC4">
      <w:pPr>
        <w:rPr>
          <w:sz w:val="28"/>
          <w:szCs w:val="28"/>
        </w:rPr>
      </w:pPr>
    </w:p>
    <w:p w:rsidR="00792807" w:rsidRPr="00FB4119" w:rsidRDefault="00433061">
      <w:pPr>
        <w:rPr>
          <w:sz w:val="28"/>
          <w:szCs w:val="28"/>
        </w:rPr>
      </w:pPr>
      <w:r w:rsidRPr="00FB4119">
        <w:rPr>
          <w:sz w:val="28"/>
          <w:szCs w:val="28"/>
        </w:rPr>
        <w:t xml:space="preserve">                          </w:t>
      </w:r>
    </w:p>
    <w:tbl>
      <w:tblPr>
        <w:tblW w:w="14540" w:type="dxa"/>
        <w:tblInd w:w="-10" w:type="dxa"/>
        <w:tblLook w:val="04A0" w:firstRow="1" w:lastRow="0" w:firstColumn="1" w:lastColumn="0" w:noHBand="0" w:noVBand="1"/>
      </w:tblPr>
      <w:tblGrid>
        <w:gridCol w:w="468"/>
        <w:gridCol w:w="3281"/>
        <w:gridCol w:w="5791"/>
        <w:gridCol w:w="1840"/>
        <w:gridCol w:w="1680"/>
        <w:gridCol w:w="1480"/>
      </w:tblGrid>
      <w:tr w:rsidR="000866FE" w:rsidRPr="000866FE" w:rsidTr="000866FE">
        <w:trPr>
          <w:trHeight w:val="190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Расшифровка критериев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Этап "Постановка на специальный учёт в ГИИС ДМДК"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Этап "Регистрация именников на 2022 год в ГИИС ДМДК"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Этап "Передача сведений об остатках в ГИИС ДМДК"</w:t>
            </w:r>
          </w:p>
        </w:tc>
      </w:tr>
      <w:tr w:rsidR="000866FE" w:rsidRPr="000866FE" w:rsidTr="000866FE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Простота и доступность системы для пользователей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удобство взаимодействия с системой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FE" w:rsidRPr="000866FE" w:rsidTr="000866FE">
        <w:trPr>
          <w:trHeight w:val="49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возможность интуитивного взаимодействия с системой без прохождения специального обучения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FE" w:rsidRPr="000866FE" w:rsidTr="000866FE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возможность  исправления допущенных ошибок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FE" w:rsidRPr="000866FE" w:rsidTr="000866FE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наличие в системе полезных подсказок и т.д.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FE" w:rsidRPr="000866FE" w:rsidTr="000866FE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Надежность и безотказность системы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скорость отклика на запрос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FE" w:rsidRPr="000866FE" w:rsidTr="000866FE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отсутствие ошибочного обслуживания запросов пользователей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FE" w:rsidRPr="000866FE" w:rsidTr="000866FE">
        <w:trPr>
          <w:trHeight w:val="49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способность функционирования системы в периоды пиковой нагрузки (пиковых потоков трафика);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FE" w:rsidRPr="000866FE" w:rsidTr="000866FE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защищенность системы от рисков утраты данных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FE" w:rsidRPr="000866FE" w:rsidTr="000866FE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наличие в системе достаточных мер информационной безопасности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FE" w:rsidRPr="000866FE" w:rsidTr="000866FE">
        <w:trPr>
          <w:trHeight w:val="73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Цена эксплуатации системы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оценка стоимости эксплуатации системы для пользователей, включая разовые и текущие затраты на оплату использования интеграционных сервисов пользователей от вендоров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FE" w:rsidRPr="000866FE" w:rsidTr="000866FE">
        <w:trPr>
          <w:trHeight w:val="49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Качество работы службы поддержки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удобство общения со службой (по телефону, в мессенджерах, по электронной почте,т.д.)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66FE" w:rsidRPr="000866FE" w:rsidTr="000866F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быстрота и полнота ответа сотрудников службы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FE" w:rsidRPr="000866FE" w:rsidTr="000866FE">
        <w:trPr>
          <w:trHeight w:val="45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FE" w:rsidRPr="000866FE" w:rsidTr="000866FE">
        <w:trPr>
          <w:trHeight w:val="28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возможность с помощью службы решать возникающие проблемы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6FE" w:rsidRPr="000866FE" w:rsidTr="000866FE">
        <w:trPr>
          <w:trHeight w:val="8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Соответствие системы современным технологическим решениям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FE" w:rsidRPr="000866FE" w:rsidRDefault="00DE0C13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</w:t>
            </w:r>
            <w:r w:rsidR="000866FE"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ценка технологического решения, заложенных в системе, с позиции их соответствия современным мировым трендам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6FE" w:rsidRPr="000866FE" w:rsidRDefault="000866FE" w:rsidP="00086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866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C0B53" w:rsidRPr="00FB4119" w:rsidRDefault="004C0B53">
      <w:pPr>
        <w:rPr>
          <w:sz w:val="28"/>
          <w:szCs w:val="28"/>
        </w:rPr>
      </w:pPr>
    </w:p>
    <w:sectPr w:rsidR="004C0B53" w:rsidRPr="00FB4119" w:rsidSect="00BB78D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D7BDC"/>
    <w:multiLevelType w:val="hybridMultilevel"/>
    <w:tmpl w:val="8F46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40F83"/>
    <w:multiLevelType w:val="hybridMultilevel"/>
    <w:tmpl w:val="60D4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CD"/>
    <w:rsid w:val="000848EE"/>
    <w:rsid w:val="000866FE"/>
    <w:rsid w:val="00091E7A"/>
    <w:rsid w:val="000A0B3C"/>
    <w:rsid w:val="000D2CEF"/>
    <w:rsid w:val="00116216"/>
    <w:rsid w:val="001731F9"/>
    <w:rsid w:val="001A174B"/>
    <w:rsid w:val="00290393"/>
    <w:rsid w:val="002B5DD0"/>
    <w:rsid w:val="00375139"/>
    <w:rsid w:val="003C3B50"/>
    <w:rsid w:val="00431DE4"/>
    <w:rsid w:val="00433061"/>
    <w:rsid w:val="004B1858"/>
    <w:rsid w:val="004C0B53"/>
    <w:rsid w:val="004C511B"/>
    <w:rsid w:val="0058453A"/>
    <w:rsid w:val="006577B8"/>
    <w:rsid w:val="00697809"/>
    <w:rsid w:val="006E1E45"/>
    <w:rsid w:val="006E2E49"/>
    <w:rsid w:val="006F6243"/>
    <w:rsid w:val="0070039F"/>
    <w:rsid w:val="00713CF7"/>
    <w:rsid w:val="007817B7"/>
    <w:rsid w:val="00785DE7"/>
    <w:rsid w:val="00792807"/>
    <w:rsid w:val="00844F63"/>
    <w:rsid w:val="008A4033"/>
    <w:rsid w:val="008F3C1D"/>
    <w:rsid w:val="009375CC"/>
    <w:rsid w:val="009834CD"/>
    <w:rsid w:val="00A033E5"/>
    <w:rsid w:val="00AB3BF8"/>
    <w:rsid w:val="00AE0648"/>
    <w:rsid w:val="00B42C73"/>
    <w:rsid w:val="00BB78DD"/>
    <w:rsid w:val="00C160C0"/>
    <w:rsid w:val="00CD4318"/>
    <w:rsid w:val="00CF775F"/>
    <w:rsid w:val="00DB1BFC"/>
    <w:rsid w:val="00DE0A5A"/>
    <w:rsid w:val="00DE0C13"/>
    <w:rsid w:val="00DE509E"/>
    <w:rsid w:val="00E75393"/>
    <w:rsid w:val="00E91481"/>
    <w:rsid w:val="00EC3AF9"/>
    <w:rsid w:val="00EF5CC4"/>
    <w:rsid w:val="00F235BF"/>
    <w:rsid w:val="00F36139"/>
    <w:rsid w:val="00FB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C7ED9-CE28-44C9-8916-3A2FFA4B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BF8"/>
    <w:pPr>
      <w:ind w:left="720"/>
      <w:contextualSpacing/>
    </w:pPr>
  </w:style>
  <w:style w:type="table" w:styleId="a4">
    <w:name w:val="Table Grid"/>
    <w:basedOn w:val="a1"/>
    <w:uiPriority w:val="39"/>
    <w:rsid w:val="004C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EF90-361D-456E-9285-EB90444B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2022-01-25T10:29:00Z</cp:lastPrinted>
  <dcterms:created xsi:type="dcterms:W3CDTF">2022-01-25T10:29:00Z</dcterms:created>
  <dcterms:modified xsi:type="dcterms:W3CDTF">2022-01-25T10:32:00Z</dcterms:modified>
</cp:coreProperties>
</file>