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52" w:rsidRDefault="003D6052" w:rsidP="003D60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  <w:bookmarkStart w:id="0" w:name="_GoBack"/>
      <w:bookmarkEnd w:id="0"/>
    </w:p>
    <w:p w:rsidR="00BC2049" w:rsidRPr="009E443F" w:rsidRDefault="00CD0D79" w:rsidP="00CD0D79">
      <w:pPr>
        <w:jc w:val="center"/>
        <w:rPr>
          <w:b/>
          <w:sz w:val="24"/>
          <w:szCs w:val="24"/>
        </w:rPr>
      </w:pPr>
      <w:r w:rsidRPr="009E443F">
        <w:rPr>
          <w:b/>
          <w:sz w:val="24"/>
          <w:szCs w:val="24"/>
        </w:rPr>
        <w:t xml:space="preserve">Таблица сравнения запретов </w:t>
      </w:r>
      <w:r w:rsidR="006C3CAF" w:rsidRPr="009E443F">
        <w:rPr>
          <w:b/>
          <w:sz w:val="24"/>
          <w:szCs w:val="24"/>
        </w:rPr>
        <w:t xml:space="preserve">на применение </w:t>
      </w:r>
      <w:r w:rsidRPr="009E443F">
        <w:rPr>
          <w:b/>
          <w:sz w:val="24"/>
          <w:szCs w:val="24"/>
        </w:rPr>
        <w:t>УСН и АУСН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7229"/>
      </w:tblGrid>
      <w:tr w:rsidR="00FA017B" w:rsidTr="00514317">
        <w:tc>
          <w:tcPr>
            <w:tcW w:w="7083" w:type="dxa"/>
          </w:tcPr>
          <w:p w:rsidR="00FA017B" w:rsidRPr="00514317" w:rsidRDefault="00FA017B" w:rsidP="003367E5">
            <w:r w:rsidRPr="00514317">
              <w:t>"Налоговый кодекс Российской Федерации (часть вторая)" от 05.08.2000 N 117-ФЗ</w:t>
            </w:r>
          </w:p>
          <w:p w:rsidR="00FA017B" w:rsidRDefault="00FA017B" w:rsidP="003367E5">
            <w:pPr>
              <w:rPr>
                <w:b/>
              </w:rPr>
            </w:pPr>
          </w:p>
          <w:p w:rsidR="00FA017B" w:rsidRPr="003367E5" w:rsidRDefault="00FA017B" w:rsidP="003367E5">
            <w:pPr>
              <w:rPr>
                <w:b/>
              </w:rPr>
            </w:pPr>
            <w:r w:rsidRPr="003367E5">
              <w:rPr>
                <w:b/>
              </w:rPr>
              <w:t>Статья 346.12. Налогоплательщики</w:t>
            </w:r>
          </w:p>
          <w:p w:rsidR="00FA017B" w:rsidRPr="00514317" w:rsidRDefault="00FA017B" w:rsidP="003367E5">
            <w:pPr>
              <w:rPr>
                <w:b/>
              </w:rPr>
            </w:pPr>
            <w:r w:rsidRPr="003367E5">
              <w:rPr>
                <w:b/>
              </w:rPr>
              <w:t>3. Не вправе применять упро</w:t>
            </w:r>
            <w:r w:rsidR="00514317">
              <w:rPr>
                <w:b/>
              </w:rPr>
              <w:t>щенную систему налогообложения:</w:t>
            </w:r>
          </w:p>
        </w:tc>
        <w:tc>
          <w:tcPr>
            <w:tcW w:w="7229" w:type="dxa"/>
          </w:tcPr>
          <w:p w:rsidR="00FA017B" w:rsidRPr="00514317" w:rsidRDefault="00FA017B" w:rsidP="00514317">
            <w:pPr>
              <w:pStyle w:val="a4"/>
            </w:pPr>
            <w:r w:rsidRPr="00514317">
              <w:t>Федеральный закон от 25.02.2022 N 17-ФЗ "О проведении эксперимента по установлению специального налогового режима "Автоматизированная упрощенная система налогообложения"</w:t>
            </w:r>
          </w:p>
          <w:p w:rsidR="00FA017B" w:rsidRPr="00514317" w:rsidRDefault="00FA017B" w:rsidP="00514317">
            <w:pPr>
              <w:pStyle w:val="a4"/>
              <w:rPr>
                <w:b/>
              </w:rPr>
            </w:pPr>
            <w:r w:rsidRPr="00514317">
              <w:rPr>
                <w:b/>
              </w:rPr>
              <w:t>Статья 3. Налогоплательщики. Уполномоченная кредитная организация</w:t>
            </w:r>
          </w:p>
          <w:p w:rsidR="00FA017B" w:rsidRDefault="00FA017B" w:rsidP="00514317">
            <w:pPr>
              <w:pStyle w:val="a4"/>
            </w:pPr>
            <w:r w:rsidRPr="00514317">
              <w:rPr>
                <w:b/>
              </w:rPr>
              <w:t>2. Не вправе применять специальный налоговый режим: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3367E5">
            <w:r>
              <w:t>1) организации, имеющие филиалы;</w:t>
            </w:r>
          </w:p>
          <w:p w:rsidR="00FA017B" w:rsidRDefault="00FA017B"/>
        </w:tc>
        <w:tc>
          <w:tcPr>
            <w:tcW w:w="7229" w:type="dxa"/>
          </w:tcPr>
          <w:p w:rsidR="00FA017B" w:rsidRDefault="00FA017B" w:rsidP="007A0BF7">
            <w:r>
              <w:t xml:space="preserve">1) организации, имеющие филиалы </w:t>
            </w:r>
            <w:r w:rsidRPr="00DE4A7B">
              <w:rPr>
                <w:color w:val="FF0000"/>
              </w:rPr>
              <w:t>и (или) обособленные подразделения;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3367E5"/>
        </w:tc>
        <w:tc>
          <w:tcPr>
            <w:tcW w:w="7229" w:type="dxa"/>
          </w:tcPr>
          <w:p w:rsidR="00FA017B" w:rsidRDefault="00FA017B" w:rsidP="007A0BF7">
            <w:r w:rsidRPr="00DE4A7B">
              <w:rPr>
                <w:color w:val="FF0000"/>
              </w:rPr>
              <w:t>2) организации, состоящие на учете в налоговом органе по месту нахождения организации, и индивидуальные предприниматели, состоящие на учете по месту жительства физического лица, при условии, что такое место нахождения (место жительства) расположено в субъекте Российской Федерации, не участвующем в эксперименте;</w:t>
            </w:r>
          </w:p>
        </w:tc>
      </w:tr>
      <w:tr w:rsidR="00FA017B" w:rsidTr="00514317">
        <w:tc>
          <w:tcPr>
            <w:tcW w:w="7083" w:type="dxa"/>
          </w:tcPr>
          <w:p w:rsidR="00FA017B" w:rsidRDefault="00514317" w:rsidP="00920B34">
            <w:r>
              <w:t>2) банки;</w:t>
            </w:r>
          </w:p>
        </w:tc>
        <w:tc>
          <w:tcPr>
            <w:tcW w:w="7229" w:type="dxa"/>
          </w:tcPr>
          <w:p w:rsidR="00FA017B" w:rsidRDefault="00FA017B" w:rsidP="007A0BF7">
            <w:r>
              <w:t xml:space="preserve">3) банки и </w:t>
            </w:r>
            <w:r w:rsidRPr="00DE4A7B">
              <w:rPr>
                <w:color w:val="FF0000"/>
              </w:rPr>
              <w:t>небанковские кредитные организации</w:t>
            </w:r>
            <w:r>
              <w:t>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920B34">
            <w:r>
              <w:t>3) страховщики;</w:t>
            </w:r>
          </w:p>
        </w:tc>
        <w:tc>
          <w:tcPr>
            <w:tcW w:w="7229" w:type="dxa"/>
          </w:tcPr>
          <w:p w:rsidR="00FA017B" w:rsidRDefault="00FA017B" w:rsidP="007A0BF7">
            <w:r>
              <w:t>4) страховщики;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920B34">
            <w:r>
              <w:t>4) негосударственные пенсионные фонды;</w:t>
            </w:r>
          </w:p>
        </w:tc>
        <w:tc>
          <w:tcPr>
            <w:tcW w:w="7229" w:type="dxa"/>
          </w:tcPr>
          <w:p w:rsidR="00FA017B" w:rsidRDefault="00FA017B" w:rsidP="007A0BF7">
            <w:r>
              <w:t>5) негосударственные пенсионные фонды;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920B34">
            <w:r>
              <w:t>5) инвестиционные фонды;</w:t>
            </w:r>
          </w:p>
        </w:tc>
        <w:tc>
          <w:tcPr>
            <w:tcW w:w="7229" w:type="dxa"/>
          </w:tcPr>
          <w:p w:rsidR="00FA017B" w:rsidRDefault="00FA017B" w:rsidP="007A0BF7">
            <w:r>
              <w:t>6) инвестиционные фонды;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920B34">
            <w:r>
              <w:t>6) профессиональные участники рынка ценных бумаг;</w:t>
            </w:r>
          </w:p>
        </w:tc>
        <w:tc>
          <w:tcPr>
            <w:tcW w:w="7229" w:type="dxa"/>
          </w:tcPr>
          <w:p w:rsidR="00FA017B" w:rsidRDefault="00FA017B" w:rsidP="007A0BF7">
            <w:r>
              <w:t>7) профессиональные участники рынка ценных бумаг;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>
              <w:t>7) ломбарды;</w:t>
            </w:r>
          </w:p>
        </w:tc>
        <w:tc>
          <w:tcPr>
            <w:tcW w:w="7229" w:type="dxa"/>
          </w:tcPr>
          <w:p w:rsidR="00FA017B" w:rsidRDefault="00FA017B" w:rsidP="007A0BF7">
            <w:r>
              <w:t>8) ломбарды;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>
              <w:t>8) организации и индивидуальные предприниматели, производящие подакцизные товары (за исключением подакцизного винограда, вина, игристого вина, включая российское шампанское, виноматериалов, виноградного сусла, произведенных из винограда собственного производства), а также осуществляющие добычу и реализацию полезных ископаемых, за исключением общераспространенных полезных ископаемых;</w:t>
            </w:r>
          </w:p>
        </w:tc>
        <w:tc>
          <w:tcPr>
            <w:tcW w:w="7229" w:type="dxa"/>
          </w:tcPr>
          <w:p w:rsidR="00FA017B" w:rsidRDefault="00FA017B" w:rsidP="007A0BF7">
            <w:r>
              <w:t>9) организации и индивидуальные предприниматели, производящие подакцизные товары (за исключением подакцизного винограда, вина, игристого вина, включая российское шампанское, виноматериалов, виноградного сусла, произведенных из винограда собственного производства), а также осуществляющие добычу и реализацию полезных ископаемых, за исключением общераспространенных полезных ископаемых;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>
              <w:t>9) организации, осуществляющие деятельность по организации и проведению азартных игр;</w:t>
            </w:r>
          </w:p>
        </w:tc>
        <w:tc>
          <w:tcPr>
            <w:tcW w:w="7229" w:type="dxa"/>
          </w:tcPr>
          <w:p w:rsidR="00FA017B" w:rsidRDefault="00FA017B" w:rsidP="007A0BF7">
            <w:r>
              <w:t>10) организации, осуществляющие деятельность по организации и проведению азартных игр;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>
              <w:t>10) нотариусы, занимающиеся частной практикой, адвокаты, учредившие адвокатские кабинеты, а также иные формы адвокатских образований;</w:t>
            </w:r>
          </w:p>
        </w:tc>
        <w:tc>
          <w:tcPr>
            <w:tcW w:w="7229" w:type="dxa"/>
          </w:tcPr>
          <w:p w:rsidR="00FA017B" w:rsidRDefault="00FA017B" w:rsidP="007A0BF7">
            <w:r>
              <w:t xml:space="preserve">11) нотариусы, занимающиеся частной практикой, адвокаты, </w:t>
            </w:r>
            <w:r w:rsidRPr="00DE4A7B">
              <w:rPr>
                <w:color w:val="FF0000"/>
              </w:rPr>
              <w:t xml:space="preserve">медиаторы, арбитражные управляющие, оценщики, патентные поверенные </w:t>
            </w:r>
            <w:r>
              <w:t xml:space="preserve">и иные </w:t>
            </w:r>
            <w:r>
              <w:lastRenderedPageBreak/>
              <w:t>лица, занимающиеся в установленном законодательством Российской Федерации порядке частной практикой;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>
              <w:lastRenderedPageBreak/>
              <w:t>11) организации, являющиеся участниками соглашений о разделе продукции;</w:t>
            </w:r>
          </w:p>
        </w:tc>
        <w:tc>
          <w:tcPr>
            <w:tcW w:w="7229" w:type="dxa"/>
          </w:tcPr>
          <w:p w:rsidR="00FA017B" w:rsidRDefault="00FA017B" w:rsidP="007A0BF7">
            <w:r>
              <w:t>12) организации, являющиеся участниками соглашений о разделе продукции;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1C3CC2">
            <w:r w:rsidRPr="00DE4A7B">
              <w:rPr>
                <w:color w:val="FF0000"/>
              </w:rPr>
              <w:t>13) организации и индивидуальные предприниматели, перешедшие на систему налогообложения для сельскохозяйственных товаропроизводителей (единый сельскохозяйственный налог) в соответствии с главой 26.1 настоящего Кодекса;</w:t>
            </w:r>
          </w:p>
        </w:tc>
        <w:tc>
          <w:tcPr>
            <w:tcW w:w="7229" w:type="dxa"/>
          </w:tcPr>
          <w:p w:rsidR="00FA017B" w:rsidRDefault="00FA017B" w:rsidP="007A0BF7"/>
        </w:tc>
      </w:tr>
      <w:tr w:rsidR="00FA017B" w:rsidTr="00514317">
        <w:tc>
          <w:tcPr>
            <w:tcW w:w="7083" w:type="dxa"/>
          </w:tcPr>
          <w:p w:rsidR="00DE4A7B" w:rsidRDefault="00FA017B" w:rsidP="00666E2C">
            <w:r>
              <w:t xml:space="preserve">14) организации, в которых доля участия других организаций составляет более 25 процентов. </w:t>
            </w:r>
          </w:p>
          <w:p w:rsidR="00FA017B" w:rsidRDefault="00FA017B" w:rsidP="00666E2C">
            <w:r>
              <w:t>Данное ограничение не распространяется:</w:t>
            </w:r>
          </w:p>
          <w:p w:rsidR="00FA017B" w:rsidRDefault="00FA017B" w:rsidP="00666E2C">
            <w:r>
              <w:t>-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      </w:r>
          </w:p>
          <w:p w:rsidR="00FA017B" w:rsidRDefault="00FA017B" w:rsidP="00666E2C">
            <w:r>
              <w:t>- на некоммерческие организации, в том числе организации потребительской кооперации, осуществляющие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      </w:r>
          </w:p>
          <w:p w:rsidR="00FA017B" w:rsidRDefault="00FA017B" w:rsidP="00666E2C">
            <w:r>
              <w:t xml:space="preserve">- на учрежденные в соответствии с Федеральным законом от 23 августа 1996 года N 127-ФЗ "О науке и государственной научно-технической политике" бюджетными и автономными научными учреждениями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      </w:r>
            <w:r>
              <w:lastRenderedPageBreak/>
              <w:t>принадлежат указанным научным учреждениям (в том числе совместно с другими лицами);</w:t>
            </w:r>
          </w:p>
          <w:p w:rsidR="00FA017B" w:rsidRDefault="00FA017B" w:rsidP="00666E2C">
            <w:r>
              <w:t>- на учрежденные в соответствии с Федеральным законом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лицами);</w:t>
            </w:r>
          </w:p>
        </w:tc>
        <w:tc>
          <w:tcPr>
            <w:tcW w:w="7229" w:type="dxa"/>
          </w:tcPr>
          <w:p w:rsidR="00DE4A7B" w:rsidRDefault="00FA017B" w:rsidP="007A0BF7">
            <w:r>
              <w:lastRenderedPageBreak/>
              <w:t xml:space="preserve">13) организации, в которых доля участия других организаций составляет более 25 процентов. </w:t>
            </w:r>
          </w:p>
          <w:p w:rsidR="00FA017B" w:rsidRDefault="00FA017B" w:rsidP="007A0BF7">
            <w:r>
              <w:t>Данное ограничение не распространяется:</w:t>
            </w:r>
          </w:p>
          <w:p w:rsidR="00FA017B" w:rsidRDefault="00FA017B" w:rsidP="007A0BF7">
            <w:proofErr w:type="gramStart"/>
            <w:r>
              <w:t>а</w:t>
            </w:r>
            <w:proofErr w:type="gramEnd"/>
            <w:r>
              <w:t>)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      </w:r>
          </w:p>
          <w:p w:rsidR="00FA017B" w:rsidRDefault="00FA017B" w:rsidP="007A0BF7">
            <w:r>
              <w:t>б) на учрежденные в соответствии с Федеральным законом от 23 августа 1996 года N 127-ФЗ "О науке и государственной научно-технической политике" бюджетными и автономными научными учреждениями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научным учреждениям (в том числе совместно с другими лицами);</w:t>
            </w:r>
          </w:p>
          <w:p w:rsidR="00FA017B" w:rsidRDefault="00FA017B" w:rsidP="007A0BF7">
            <w:r>
              <w:t xml:space="preserve">в) на учрежденные в соответствии с Федеральным законом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</w:t>
            </w:r>
            <w:r>
              <w:lastRenderedPageBreak/>
              <w:t>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лицами);</w:t>
            </w:r>
          </w:p>
        </w:tc>
      </w:tr>
      <w:tr w:rsidR="00FA017B" w:rsidTr="00514317">
        <w:tc>
          <w:tcPr>
            <w:tcW w:w="7083" w:type="dxa"/>
          </w:tcPr>
          <w:p w:rsidR="00FA017B" w:rsidRPr="00DE4A7B" w:rsidRDefault="00FA017B" w:rsidP="00666E2C">
            <w:pPr>
              <w:rPr>
                <w:color w:val="FF0000"/>
              </w:rPr>
            </w:pPr>
            <w:r w:rsidRPr="00DE4A7B">
              <w:rPr>
                <w:color w:val="FF0000"/>
              </w:rPr>
              <w:lastRenderedPageBreak/>
              <w:t>15) организации и индивидуальные предприниматели,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превышает 100 человек, если иное не предусмотрено пунктом 4 статьи 346.13 настоящего Кодекса.</w:t>
            </w:r>
          </w:p>
          <w:p w:rsidR="00FA017B" w:rsidRDefault="00FA017B" w:rsidP="00666E2C">
            <w:r w:rsidRPr="00DE4A7B">
              <w:rPr>
                <w:color w:val="FF0000"/>
              </w:rPr>
              <w:t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      </w:r>
          </w:p>
        </w:tc>
        <w:tc>
          <w:tcPr>
            <w:tcW w:w="7229" w:type="dxa"/>
          </w:tcPr>
          <w:p w:rsidR="00FA017B" w:rsidRDefault="00FA017B" w:rsidP="007A0BF7"/>
        </w:tc>
      </w:tr>
      <w:tr w:rsidR="00FA017B" w:rsidTr="00514317">
        <w:tc>
          <w:tcPr>
            <w:tcW w:w="7083" w:type="dxa"/>
          </w:tcPr>
          <w:p w:rsidR="00FA017B" w:rsidRDefault="00FA017B" w:rsidP="00666E2C">
            <w:r>
              <w:t xml:space="preserve">16) 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150 млн. рублей. В целях настоящего подпункта учитываются основные средства, которые </w:t>
            </w:r>
            <w:r>
              <w:lastRenderedPageBreak/>
              <w:t>подлежат амортизации и признаются амортизируемым имуществом в соответствии с главой 25 настоящего Кодекса;</w:t>
            </w:r>
          </w:p>
        </w:tc>
        <w:tc>
          <w:tcPr>
            <w:tcW w:w="7229" w:type="dxa"/>
          </w:tcPr>
          <w:p w:rsidR="00FA017B" w:rsidRDefault="00FA017B" w:rsidP="007A0BF7">
            <w:r>
              <w:lastRenderedPageBreak/>
              <w:t>14) 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150 миллионов рублей;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666E2C">
            <w:r>
              <w:lastRenderedPageBreak/>
              <w:t>17) казенные и бюджетные учреждения;</w:t>
            </w:r>
          </w:p>
        </w:tc>
        <w:tc>
          <w:tcPr>
            <w:tcW w:w="7229" w:type="dxa"/>
          </w:tcPr>
          <w:p w:rsidR="00FA017B" w:rsidRDefault="00FA017B" w:rsidP="007A0BF7">
            <w:r>
              <w:t>15) казенные и бюджетные учреждения;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666E2C">
            <w:r>
              <w:t>18) иностранные организации;</w:t>
            </w:r>
          </w:p>
        </w:tc>
        <w:tc>
          <w:tcPr>
            <w:tcW w:w="7229" w:type="dxa"/>
          </w:tcPr>
          <w:p w:rsidR="00FA017B" w:rsidRDefault="00FA017B" w:rsidP="007A0BF7">
            <w:r>
              <w:t>16) иностранные организации;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 w:rsidP="00666E2C">
            <w:r w:rsidRPr="00DE4A7B">
              <w:rPr>
                <w:color w:val="FF0000"/>
              </w:rPr>
              <w:t>19) организации и индивидуальные предприниматели, не уведомившие о переходе на упрощенную систему налогообложения в сроки, установленные пунктами 1 и 2 статьи 346.13 настоящего Кодекса;</w:t>
            </w:r>
          </w:p>
        </w:tc>
        <w:tc>
          <w:tcPr>
            <w:tcW w:w="7229" w:type="dxa"/>
          </w:tcPr>
          <w:p w:rsidR="00FA017B" w:rsidRDefault="00FA017B" w:rsidP="007A0BF7"/>
        </w:tc>
      </w:tr>
      <w:tr w:rsidR="00FA017B" w:rsidTr="00514317">
        <w:tc>
          <w:tcPr>
            <w:tcW w:w="7083" w:type="dxa"/>
          </w:tcPr>
          <w:p w:rsidR="00FA017B" w:rsidRDefault="00FA017B" w:rsidP="00666E2C">
            <w:r>
              <w:t xml:space="preserve">20) </w:t>
            </w:r>
            <w:proofErr w:type="spellStart"/>
            <w:r>
              <w:t>микрофинансовые</w:t>
            </w:r>
            <w:proofErr w:type="spellEnd"/>
            <w:r>
              <w:t xml:space="preserve"> организации;</w:t>
            </w:r>
          </w:p>
        </w:tc>
        <w:tc>
          <w:tcPr>
            <w:tcW w:w="7229" w:type="dxa"/>
          </w:tcPr>
          <w:p w:rsidR="00FA017B" w:rsidRDefault="00FA017B" w:rsidP="007A0BF7">
            <w:r>
              <w:t xml:space="preserve">17) </w:t>
            </w:r>
            <w:proofErr w:type="spellStart"/>
            <w:r>
              <w:t>микрофинансовые</w:t>
            </w:r>
            <w:proofErr w:type="spellEnd"/>
            <w:r>
              <w:t xml:space="preserve"> организации;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>
            <w:r>
              <w:t>21) частные агентства занятости, осуществляющие деятельность по предоставлению труда работников (персонала).</w:t>
            </w:r>
          </w:p>
        </w:tc>
        <w:tc>
          <w:tcPr>
            <w:tcW w:w="7229" w:type="dxa"/>
          </w:tcPr>
          <w:p w:rsidR="00FA017B" w:rsidRDefault="00FA017B" w:rsidP="007A0BF7">
            <w:r>
              <w:t>18) частные агентства занятости, осуществляющие деятельность по предоставлению труда работников (персонала);</w:t>
            </w:r>
          </w:p>
        </w:tc>
      </w:tr>
      <w:tr w:rsidR="00E62639" w:rsidTr="00514317">
        <w:tc>
          <w:tcPr>
            <w:tcW w:w="7083" w:type="dxa"/>
          </w:tcPr>
          <w:p w:rsidR="00E62639" w:rsidRPr="00DE4A7B" w:rsidRDefault="00E62639" w:rsidP="00E62639">
            <w:pPr>
              <w:rPr>
                <w:color w:val="FF0000"/>
                <w:highlight w:val="yellow"/>
              </w:rPr>
            </w:pPr>
            <w:r w:rsidRPr="00DE4A7B">
              <w:rPr>
                <w:color w:val="FF0000"/>
                <w:highlight w:val="yellow"/>
              </w:rPr>
              <w:t xml:space="preserve">22) организации и индивидуальные предприниматели, осуществляющие производство ювелирных и других </w:t>
            </w:r>
          </w:p>
          <w:p w:rsidR="00E62639" w:rsidRPr="00DE4A7B" w:rsidRDefault="00E62639" w:rsidP="00E62639">
            <w:pPr>
              <w:rPr>
                <w:color w:val="FF0000"/>
                <w:highlight w:val="yellow"/>
              </w:rPr>
            </w:pPr>
            <w:proofErr w:type="gramStart"/>
            <w:r w:rsidRPr="00DE4A7B">
              <w:rPr>
                <w:color w:val="FF0000"/>
                <w:highlight w:val="yellow"/>
              </w:rPr>
              <w:t>изделий</w:t>
            </w:r>
            <w:proofErr w:type="gramEnd"/>
            <w:r w:rsidRPr="00DE4A7B">
              <w:rPr>
                <w:color w:val="FF0000"/>
                <w:highlight w:val="yellow"/>
              </w:rPr>
              <w:t xml:space="preserve"> из драгоценных металлов или оптовую (розничную) торговлю ювелирными и другими изделиями из</w:t>
            </w:r>
          </w:p>
          <w:p w:rsidR="00E62639" w:rsidRDefault="00E62639" w:rsidP="00E62639">
            <w:proofErr w:type="gramStart"/>
            <w:r w:rsidRPr="00DE4A7B">
              <w:rPr>
                <w:color w:val="FF0000"/>
                <w:highlight w:val="yellow"/>
              </w:rPr>
              <w:t>драгоценных</w:t>
            </w:r>
            <w:proofErr w:type="gramEnd"/>
            <w:r w:rsidRPr="00DE4A7B">
              <w:rPr>
                <w:color w:val="FF0000"/>
                <w:highlight w:val="yellow"/>
              </w:rPr>
              <w:t xml:space="preserve"> металлов.</w:t>
            </w:r>
          </w:p>
        </w:tc>
        <w:tc>
          <w:tcPr>
            <w:tcW w:w="7229" w:type="dxa"/>
          </w:tcPr>
          <w:p w:rsidR="00E62639" w:rsidRDefault="00E62639" w:rsidP="007A0BF7"/>
        </w:tc>
      </w:tr>
      <w:tr w:rsidR="00FA017B" w:rsidTr="00514317">
        <w:tc>
          <w:tcPr>
            <w:tcW w:w="7083" w:type="dxa"/>
          </w:tcPr>
          <w:p w:rsidR="00FA017B" w:rsidRDefault="00FA017B" w:rsidP="00DE4A7B"/>
        </w:tc>
        <w:tc>
          <w:tcPr>
            <w:tcW w:w="7229" w:type="dxa"/>
          </w:tcPr>
          <w:p w:rsidR="00FA017B" w:rsidRPr="00DE4A7B" w:rsidRDefault="00FA017B" w:rsidP="007A0BF7">
            <w:pPr>
              <w:rPr>
                <w:color w:val="FF0000"/>
              </w:rPr>
            </w:pPr>
            <w:r w:rsidRPr="00DE4A7B">
              <w:rPr>
                <w:color w:val="FF0000"/>
              </w:rPr>
              <w:t>19) организации и индивидуальные предприниматели, применяющие иные режимы налогообложения, предусмотренные законодательством Российской Федерации о налогах и сборах;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7A0BF7">
            <w:pPr>
              <w:rPr>
                <w:color w:val="FF0000"/>
              </w:rPr>
            </w:pPr>
            <w:r w:rsidRPr="00DE4A7B">
              <w:rPr>
                <w:color w:val="FF0000"/>
              </w:rPr>
              <w:t>20) организации и индивидуальные предприниматели, являющиеся участниками договора простого товарищества (договора о совместной деятельности), договора инвестиционного товарищества, договора доверительного управления имуществом или концессионного соглашения на территории Российской Федерации;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7A0BF7">
            <w:pPr>
              <w:rPr>
                <w:color w:val="FF0000"/>
              </w:rPr>
            </w:pPr>
            <w:r w:rsidRPr="00DE4A7B">
              <w:rPr>
                <w:color w:val="FF0000"/>
              </w:rPr>
              <w:t>21) организации и индивидуальные предприниматели, ведущие предпринимательскую деятельность на основе договоров поручения, договоров комиссии либо агентских договоров;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7A0BF7">
            <w:pPr>
              <w:rPr>
                <w:color w:val="FF0000"/>
              </w:rPr>
            </w:pPr>
            <w:r w:rsidRPr="00DE4A7B">
              <w:rPr>
                <w:color w:val="FF0000"/>
              </w:rPr>
              <w:t>22) организации и индивидуальные предприниматели, осуществляющие деятельность по совершению сделок с ценными бумагами и (или) производными финансовыми инструментами, а также по оказанию кредитных и иных финансовых услуг;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7A0BF7">
            <w:pPr>
              <w:rPr>
                <w:color w:val="FF0000"/>
              </w:rPr>
            </w:pPr>
            <w:r w:rsidRPr="00DE4A7B">
              <w:rPr>
                <w:color w:val="FF0000"/>
              </w:rPr>
              <w:t>23) организации и индивидуальные предприниматели, у которых доходы, учитываемые при определении налоговой базы, превысили в текущем календарном году 60 миллионов рублей;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24) унитарные предприятия, основанные на праве оперативного управления или хозяйственного ведения;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25) некоммерческие организации;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26) организации и индивидуальные предприниматели, привлекающие работников для осуществления работ, указанных в списках соответствующих работ, производств, профессий, должностей, специальностей и учреждений (организаций), утвержденных Правительством Российской Федерации в соответствии с частью 1 статьи 30 и статьей 31 Федерального закона от 28 декабря 2013 года N 400-ФЗ "О страховых пенсиях";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27) организации и индивидуальные предприниматели, привлекающие к трудовой деятельности физических лиц, не являющихся налоговыми резидентами Российской Федерации;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28) организации и индивидуальные предприниматели, средняя численность работников которых за налоговый период, определяемая в порядке, устанавливаемом федеральным органом исполнительной власти, уполномоченным в области статистики, превышает пять человек;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29) организации и индивидуальные предприниматели, имеющие счета, корпоративные электронные средства платежа для переводов электронных денежных средств в кредитной организации, не включенной в реестр уполномоченных кредитных организаций, предусмотренный частью 5 настоящей статьи;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30) организации и индивидуальные предприниматели, являющиеся источниками выплаты доходов физическим лицам, облагаемых налогом на доходы физических лиц по налоговым ставкам, предусмотренным пунктами 2 - 3.1, 5 и 6 статьи 224 Налогового кодекса Российской Федерации, в порядке, установленном главой 23 Налогового кодекса Российской Федерации, источниками доходов в натуральной форме, а также доходов физических лиц, полученных в виде материальной выгоды в результате взаимоотношений с указанными организациями и индивидуальными предпринимателями;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31) организации и индивидуальные предприниматели, осуществляющие выплату доходов физическим лицам в наличной форме;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 w:rsidP="00C416C8">
            <w:pPr>
              <w:rPr>
                <w:color w:val="FF0000"/>
              </w:rPr>
            </w:pPr>
            <w:r w:rsidRPr="00DE4A7B">
              <w:rPr>
                <w:color w:val="FF0000"/>
              </w:rPr>
              <w:t>32) крестьянские фермерские хозяйства;</w:t>
            </w:r>
          </w:p>
        </w:tc>
      </w:tr>
      <w:tr w:rsidR="00FA017B" w:rsidTr="00514317">
        <w:tc>
          <w:tcPr>
            <w:tcW w:w="7083" w:type="dxa"/>
          </w:tcPr>
          <w:p w:rsidR="00FA017B" w:rsidRDefault="00FA017B"/>
        </w:tc>
        <w:tc>
          <w:tcPr>
            <w:tcW w:w="7229" w:type="dxa"/>
          </w:tcPr>
          <w:p w:rsidR="00FA017B" w:rsidRPr="00DE4A7B" w:rsidRDefault="00FA017B">
            <w:pPr>
              <w:rPr>
                <w:color w:val="FF0000"/>
              </w:rPr>
            </w:pPr>
            <w:r w:rsidRPr="00DE4A7B">
              <w:rPr>
                <w:color w:val="FF0000"/>
              </w:rPr>
              <w:t>33) лица, применяющие особый порядок уплаты (перечисления) налогов, сборов, страховых взносов, пеней, штрафов, процентов в соответствии с пунктом 1 статьи 45.2 Налогового кодекса Российской Федерации.</w:t>
            </w:r>
          </w:p>
        </w:tc>
      </w:tr>
    </w:tbl>
    <w:p w:rsidR="007A0BF7" w:rsidRPr="009E443F" w:rsidRDefault="007A0BF7" w:rsidP="009E443F">
      <w:pPr>
        <w:rPr>
          <w:sz w:val="16"/>
          <w:szCs w:val="16"/>
        </w:rPr>
      </w:pPr>
    </w:p>
    <w:sectPr w:rsidR="007A0BF7" w:rsidRPr="009E443F" w:rsidSect="007A0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7"/>
    <w:rsid w:val="001C3CC2"/>
    <w:rsid w:val="003367E5"/>
    <w:rsid w:val="003D6052"/>
    <w:rsid w:val="00514317"/>
    <w:rsid w:val="00666E2C"/>
    <w:rsid w:val="006C3CAF"/>
    <w:rsid w:val="007A0BF7"/>
    <w:rsid w:val="00920B34"/>
    <w:rsid w:val="009A75CF"/>
    <w:rsid w:val="009E443F"/>
    <w:rsid w:val="00BC2049"/>
    <w:rsid w:val="00C416C8"/>
    <w:rsid w:val="00CD0D79"/>
    <w:rsid w:val="00DE4A7B"/>
    <w:rsid w:val="00E62639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5A7E-C8DA-4F42-82A8-676DDC7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4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2022-07-29T07:12:00Z</dcterms:created>
  <dcterms:modified xsi:type="dcterms:W3CDTF">2022-07-29T07:12:00Z</dcterms:modified>
</cp:coreProperties>
</file>