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68" w:rsidRPr="00BE7468" w:rsidRDefault="00BE7468" w:rsidP="00BE7468">
      <w:pPr>
        <w:shd w:val="clear" w:color="auto" w:fill="FFFFFF"/>
        <w:tabs>
          <w:tab w:val="left" w:pos="8252"/>
        </w:tabs>
        <w:spacing w:after="225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BE7468">
        <w:rPr>
          <w:b/>
          <w:color w:val="000000"/>
          <w:u w:val="single"/>
        </w:rPr>
        <w:t>Приложение</w:t>
      </w:r>
    </w:p>
    <w:p w:rsidR="00BE7468" w:rsidRDefault="00BE7468" w:rsidP="00BE7468">
      <w:pPr>
        <w:shd w:val="clear" w:color="auto" w:fill="FFFFFF"/>
        <w:spacing w:after="225"/>
        <w:jc w:val="both"/>
        <w:rPr>
          <w:color w:val="000000"/>
        </w:rPr>
      </w:pP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D11EB">
        <w:rPr>
          <w:color w:val="000000"/>
        </w:rPr>
        <w:t>По экспертной оценке участников рынка ювелирных изделий и продукции</w:t>
      </w:r>
      <w:r>
        <w:rPr>
          <w:color w:val="000000"/>
        </w:rPr>
        <w:t xml:space="preserve"> из драгоценных металлов и драг</w:t>
      </w:r>
      <w:r w:rsidRPr="00AD11EB">
        <w:rPr>
          <w:color w:val="000000"/>
        </w:rPr>
        <w:t>оценны</w:t>
      </w:r>
      <w:r>
        <w:rPr>
          <w:color w:val="000000"/>
        </w:rPr>
        <w:t>х</w:t>
      </w:r>
      <w:r w:rsidRPr="00AD11EB">
        <w:rPr>
          <w:color w:val="000000"/>
        </w:rPr>
        <w:t xml:space="preserve"> камней нарастающее санкционное давление на экономику и финансовые институты России создает риски наступления </w:t>
      </w:r>
      <w:r>
        <w:rPr>
          <w:color w:val="000000"/>
        </w:rPr>
        <w:t xml:space="preserve">ряда </w:t>
      </w:r>
      <w:r w:rsidRPr="00AD11EB">
        <w:rPr>
          <w:color w:val="000000"/>
        </w:rPr>
        <w:t>негативн</w:t>
      </w:r>
      <w:r>
        <w:rPr>
          <w:color w:val="000000"/>
        </w:rPr>
        <w:t>ых последствий для нашего рынка.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  <w:u w:val="single"/>
        </w:rPr>
      </w:pPr>
      <w:r w:rsidRPr="00AD11EB">
        <w:rPr>
          <w:b/>
          <w:color w:val="000000"/>
        </w:rPr>
        <w:t xml:space="preserve">                                                             </w:t>
      </w:r>
      <w:r w:rsidRPr="00AD11EB">
        <w:rPr>
          <w:b/>
          <w:color w:val="000000"/>
          <w:u w:val="single"/>
        </w:rPr>
        <w:t>Р</w:t>
      </w:r>
      <w:r w:rsidR="00352AC5">
        <w:rPr>
          <w:b/>
          <w:color w:val="000000"/>
          <w:u w:val="single"/>
        </w:rPr>
        <w:t>иски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1.</w:t>
      </w:r>
      <w:r w:rsidRPr="00AD11EB">
        <w:rPr>
          <w:color w:val="000000"/>
        </w:rPr>
        <w:t>     Снижение интереса потребителей к ювелирным изделиям, как товарной категории  из-за пересмотра структуры потребления</w:t>
      </w:r>
      <w:r>
        <w:rPr>
          <w:color w:val="000000"/>
        </w:rPr>
        <w:t>.</w:t>
      </w:r>
      <w:r w:rsidRPr="00AD11EB">
        <w:rPr>
          <w:color w:val="000000"/>
        </w:rPr>
        <w:t xml:space="preserve"> </w:t>
      </w:r>
      <w:r>
        <w:rPr>
          <w:color w:val="000000"/>
        </w:rPr>
        <w:t xml:space="preserve">Также снижается </w:t>
      </w:r>
      <w:r w:rsidRPr="00AD11EB">
        <w:rPr>
          <w:color w:val="000000"/>
        </w:rPr>
        <w:t xml:space="preserve"> инвестиционн</w:t>
      </w:r>
      <w:r>
        <w:rPr>
          <w:color w:val="000000"/>
        </w:rPr>
        <w:t xml:space="preserve">ая </w:t>
      </w:r>
      <w:r w:rsidRPr="00AD11EB">
        <w:rPr>
          <w:color w:val="000000"/>
        </w:rPr>
        <w:t>составляющ</w:t>
      </w:r>
      <w:r>
        <w:rPr>
          <w:color w:val="000000"/>
        </w:rPr>
        <w:t xml:space="preserve">ая </w:t>
      </w:r>
      <w:r w:rsidRPr="00AD11EB">
        <w:rPr>
          <w:color w:val="000000"/>
        </w:rPr>
        <w:t xml:space="preserve"> в продукте по причине освобождения от НДС реализации слитков драгоценных металлов физическим лицам</w:t>
      </w:r>
      <w:r>
        <w:rPr>
          <w:color w:val="000000"/>
        </w:rPr>
        <w:t>.</w:t>
      </w:r>
      <w:r w:rsidRPr="00AD11EB">
        <w:rPr>
          <w:color w:val="000000"/>
        </w:rPr>
        <w:t xml:space="preserve"> 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2.</w:t>
      </w:r>
      <w:r w:rsidRPr="00AD11EB">
        <w:rPr>
          <w:color w:val="000000"/>
        </w:rPr>
        <w:t xml:space="preserve">      Падение </w:t>
      </w:r>
      <w:r>
        <w:rPr>
          <w:color w:val="000000"/>
        </w:rPr>
        <w:t xml:space="preserve">платежеспособного спроса </w:t>
      </w:r>
      <w:r w:rsidRPr="00AD11EB">
        <w:rPr>
          <w:color w:val="000000"/>
        </w:rPr>
        <w:t xml:space="preserve"> населения из-за уменьшения доходов и сокращения занятости.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3.</w:t>
      </w:r>
      <w:r w:rsidRPr="00AD11EB">
        <w:rPr>
          <w:color w:val="000000"/>
        </w:rPr>
        <w:t xml:space="preserve">      Переоценка старых товарных остатков в условиях плохо прогнозируемых инфляционных процессов. 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4.</w:t>
      </w:r>
      <w:r w:rsidRPr="00AD11EB">
        <w:rPr>
          <w:color w:val="000000"/>
        </w:rPr>
        <w:t>      Существенный рост стоимости заёмных средств.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5.</w:t>
      </w:r>
      <w:r w:rsidRPr="00AD11EB">
        <w:rPr>
          <w:color w:val="000000"/>
        </w:rPr>
        <w:t>     Рост стоимости сырья для п</w:t>
      </w:r>
      <w:r w:rsidR="00E07C4C">
        <w:rPr>
          <w:color w:val="000000"/>
        </w:rPr>
        <w:t>роизводства ювелирных изделий (</w:t>
      </w:r>
      <w:r w:rsidRPr="00AD11EB">
        <w:rPr>
          <w:color w:val="000000"/>
        </w:rPr>
        <w:t>драгоценных</w:t>
      </w:r>
      <w:r>
        <w:rPr>
          <w:color w:val="000000"/>
        </w:rPr>
        <w:t xml:space="preserve"> металлов и драгоценных камней)</w:t>
      </w:r>
      <w:r w:rsidRPr="00AD11EB">
        <w:rPr>
          <w:color w:val="000000"/>
        </w:rPr>
        <w:t xml:space="preserve">, расходных материалов, инструментов и оборудования. Доля валютной составляющей </w:t>
      </w:r>
      <w:r>
        <w:rPr>
          <w:color w:val="000000"/>
        </w:rPr>
        <w:t xml:space="preserve">в </w:t>
      </w:r>
      <w:r w:rsidRPr="00AD11EB">
        <w:rPr>
          <w:color w:val="000000"/>
        </w:rPr>
        <w:t>себестоимости продукции в отрасли колеблется от 85-90%. Как следствие</w:t>
      </w:r>
      <w:r>
        <w:rPr>
          <w:color w:val="000000"/>
        </w:rPr>
        <w:t xml:space="preserve"> </w:t>
      </w:r>
      <w:r w:rsidRPr="00AD11EB">
        <w:rPr>
          <w:color w:val="000000"/>
        </w:rPr>
        <w:t>- увеличение цены продукции пропорционально росту курсу доллара США к российскому рублю.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6.</w:t>
      </w:r>
      <w:r w:rsidRPr="00AD11EB">
        <w:rPr>
          <w:color w:val="000000"/>
        </w:rPr>
        <w:t>    Логистические проблемы как при зарубежных поставках, так и при работе на внутреннем рынке, разрыв логистических цепочек.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7.</w:t>
      </w:r>
      <w:r w:rsidRPr="00AD11EB">
        <w:rPr>
          <w:color w:val="000000"/>
        </w:rPr>
        <w:t>     Технологические проблемы: дефицит расходных материалов, инструментов, оборудования</w:t>
      </w:r>
      <w:r>
        <w:rPr>
          <w:color w:val="000000"/>
        </w:rPr>
        <w:t xml:space="preserve">, </w:t>
      </w:r>
      <w:r w:rsidRPr="00AD11EB">
        <w:rPr>
          <w:color w:val="000000"/>
        </w:rPr>
        <w:t xml:space="preserve"> запасных частей</w:t>
      </w:r>
      <w:r>
        <w:rPr>
          <w:color w:val="000000"/>
        </w:rPr>
        <w:t xml:space="preserve"> и комплектующих</w:t>
      </w:r>
      <w:r w:rsidRPr="00AD11EB">
        <w:rPr>
          <w:color w:val="000000"/>
        </w:rPr>
        <w:t>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8.</w:t>
      </w:r>
      <w:r w:rsidRPr="00AD11EB">
        <w:rPr>
          <w:color w:val="000000"/>
        </w:rPr>
        <w:t>      Закрытие</w:t>
      </w:r>
      <w:r w:rsidR="00E07C4C">
        <w:rPr>
          <w:color w:val="000000"/>
        </w:rPr>
        <w:t xml:space="preserve"> экспорта и перевод на 100 % </w:t>
      </w:r>
      <w:r w:rsidRPr="00AD11EB">
        <w:rPr>
          <w:color w:val="000000"/>
        </w:rPr>
        <w:t>предоплату импорта.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9.</w:t>
      </w:r>
      <w:r w:rsidRPr="00AD11EB">
        <w:rPr>
          <w:color w:val="000000"/>
        </w:rPr>
        <w:t>      Увеличение стоимости создания рабочих мест с персональным IT оборудованием и программным обеспечением.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10.</w:t>
      </w:r>
      <w:r w:rsidRPr="00AD11EB">
        <w:rPr>
          <w:color w:val="000000"/>
        </w:rPr>
        <w:t>   Сокращение производственного персонала и закрытие розничных торговых точек.   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 xml:space="preserve">11. </w:t>
      </w:r>
      <w:r w:rsidRPr="00AD11EB">
        <w:rPr>
          <w:color w:val="000000"/>
        </w:rPr>
        <w:t>Сокращение физических объемов выпуска  продукции</w:t>
      </w:r>
      <w:r w:rsidRPr="00AD11EB">
        <w:rPr>
          <w:b/>
          <w:color w:val="000000"/>
        </w:rPr>
        <w:t xml:space="preserve"> </w:t>
      </w:r>
      <w:r w:rsidRPr="00AD11EB">
        <w:rPr>
          <w:color w:val="000000"/>
        </w:rPr>
        <w:t>при запуске каждого нового производственного цикла. Повышение цены на отпускаемую продукцию не обеспечивает восполнение оборотных средств для закупки сырья, так как они уходят на уплату НДС и налога на прибыль. Эффект «проедания»  оборотных средств.</w:t>
      </w:r>
    </w:p>
    <w:p w:rsidR="00BE7468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9D6BDD">
        <w:rPr>
          <w:color w:val="000000"/>
        </w:rPr>
        <w:t>Установление запрета на применение специальных налоговых режимов становится дополнительн</w:t>
      </w:r>
      <w:r>
        <w:rPr>
          <w:color w:val="000000"/>
        </w:rPr>
        <w:t>ой причиной сокращения числа участников рынка.</w:t>
      </w:r>
    </w:p>
    <w:p w:rsidR="00BE7468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  <w:r w:rsidRPr="00AD11EB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D11EB">
        <w:rPr>
          <w:b/>
          <w:color w:val="000000"/>
        </w:rPr>
        <w:t>.</w:t>
      </w:r>
      <w:r w:rsidRPr="00AD11EB">
        <w:rPr>
          <w:color w:val="000000"/>
        </w:rPr>
        <w:t xml:space="preserve"> Следует добавить, что ГИИС ДМДК многие участники рынка также причисляют к фактору экономического давления на бизнес из-за ожидаемых административных штрафов повышенного размера.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color w:val="000000"/>
        </w:rPr>
      </w:pP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  <w:u w:val="single"/>
        </w:rPr>
      </w:pPr>
      <w:r w:rsidRPr="004F7089">
        <w:rPr>
          <w:b/>
          <w:color w:val="000000"/>
        </w:rPr>
        <w:lastRenderedPageBreak/>
        <w:t xml:space="preserve">                                                           </w:t>
      </w:r>
      <w:r w:rsidRPr="00AD11EB">
        <w:rPr>
          <w:b/>
          <w:color w:val="000000"/>
          <w:u w:val="single"/>
        </w:rPr>
        <w:t xml:space="preserve">ВЫВОД 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</w:rPr>
      </w:pPr>
      <w:r w:rsidRPr="00AD11EB">
        <w:rPr>
          <w:b/>
          <w:color w:val="000000"/>
        </w:rPr>
        <w:t>С</w:t>
      </w:r>
      <w:r w:rsidR="00352AC5">
        <w:rPr>
          <w:b/>
          <w:color w:val="000000"/>
        </w:rPr>
        <w:t>овокупность негативных факторов</w:t>
      </w:r>
      <w:r w:rsidR="00E07C4C">
        <w:rPr>
          <w:b/>
          <w:color w:val="000000"/>
        </w:rPr>
        <w:t xml:space="preserve">, оказывающих </w:t>
      </w:r>
      <w:r w:rsidRPr="00AD11EB">
        <w:rPr>
          <w:b/>
          <w:color w:val="000000"/>
        </w:rPr>
        <w:t>влияние на состояние рынка</w:t>
      </w:r>
      <w:r>
        <w:rPr>
          <w:b/>
          <w:color w:val="000000"/>
        </w:rPr>
        <w:t>,</w:t>
      </w:r>
      <w:r w:rsidRPr="00AD11EB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создает </w:t>
      </w:r>
      <w:r w:rsidRPr="00AD11EB">
        <w:rPr>
          <w:b/>
          <w:color w:val="000000"/>
        </w:rPr>
        <w:t>риск полной остановки отрасли, в которой на сегодняшний день занято около 150 тысяч человек.  По мнению экспертов отрасли для максимально возможного нивелирования негативных факторов требуется кардинальная либерализация оборота ДМДК с освобождением участников от исполнений излишних обязательных требований и избыточных издержек непроизводственного характера.</w:t>
      </w: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</w:rPr>
      </w:pPr>
    </w:p>
    <w:p w:rsidR="00BE7468" w:rsidRPr="00AD11EB" w:rsidRDefault="00BE7468" w:rsidP="00BE7468">
      <w:pPr>
        <w:shd w:val="clear" w:color="auto" w:fill="FFFFFF"/>
        <w:spacing w:after="225"/>
        <w:ind w:left="851"/>
        <w:jc w:val="both"/>
        <w:rPr>
          <w:b/>
          <w:color w:val="000000"/>
          <w:u w:val="single"/>
        </w:rPr>
      </w:pPr>
      <w:r w:rsidRPr="004F7089">
        <w:rPr>
          <w:b/>
          <w:color w:val="000000"/>
        </w:rPr>
        <w:t xml:space="preserve">                                       </w:t>
      </w:r>
      <w:r w:rsidRPr="00AD11EB">
        <w:rPr>
          <w:b/>
          <w:color w:val="000000"/>
          <w:u w:val="single"/>
        </w:rPr>
        <w:t>Предложения по мерам поддержки отрасли</w:t>
      </w:r>
      <w:r>
        <w:rPr>
          <w:b/>
          <w:color w:val="000000"/>
          <w:u w:val="single"/>
        </w:rPr>
        <w:t xml:space="preserve"> 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  <w:r w:rsidRPr="00AD11EB">
        <w:rPr>
          <w:rFonts w:eastAsia="Calibri"/>
          <w:b/>
        </w:rPr>
        <w:t>1</w:t>
      </w:r>
      <w:r w:rsidRPr="00AD11EB">
        <w:rPr>
          <w:rFonts w:eastAsia="Calibri"/>
        </w:rPr>
        <w:t>. Приостановить внедрение новых этапов маркировки выпускаемой продукции  и отложить маркировку товарных остатков до 2023 года. Система не протестирована, полный функционал не доделан, работает не стабильно с многочисленными сбоями, что создает излишнюю нагрузку на участников и тормозит работу отрасли.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</w:p>
    <w:p w:rsidR="00BE7468" w:rsidRPr="00AD11EB" w:rsidRDefault="00BE7468" w:rsidP="00BE7468">
      <w:pPr>
        <w:ind w:left="851"/>
        <w:jc w:val="both"/>
        <w:rPr>
          <w:rFonts w:eastAsia="Calibri"/>
        </w:rPr>
      </w:pPr>
      <w:r w:rsidRPr="00AD11EB">
        <w:rPr>
          <w:rFonts w:eastAsia="Calibri"/>
          <w:b/>
        </w:rPr>
        <w:t>2.</w:t>
      </w:r>
      <w:r w:rsidRPr="00AD11EB">
        <w:rPr>
          <w:rFonts w:eastAsia="Calibri"/>
        </w:rPr>
        <w:t xml:space="preserve"> Установить «0» ставку  НДС при реализации  слитков  драгоценных металлов организациям.  В противном случае, из-за отмены НДС на реализацию драгоценных металлов физическим лицам неизбежно порождение теневого оборота и снижение конкурентоспособности добросовестных производителей.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</w:p>
    <w:p w:rsidR="00BE7468" w:rsidRPr="00AD11EB" w:rsidRDefault="00BE7468" w:rsidP="00BE7468">
      <w:pPr>
        <w:ind w:left="851"/>
        <w:jc w:val="both"/>
        <w:rPr>
          <w:rFonts w:eastAsia="Calibri"/>
        </w:rPr>
      </w:pPr>
      <w:r w:rsidRPr="00AD11EB">
        <w:rPr>
          <w:rFonts w:eastAsia="Calibri"/>
          <w:b/>
        </w:rPr>
        <w:t>3.</w:t>
      </w:r>
      <w:r w:rsidRPr="00AD11EB">
        <w:rPr>
          <w:rFonts w:eastAsia="Calibri"/>
        </w:rPr>
        <w:t xml:space="preserve"> Вывести ювелирные изделия из категории субъектов </w:t>
      </w:r>
      <w:r>
        <w:rPr>
          <w:rFonts w:eastAsia="Calibri"/>
        </w:rPr>
        <w:t>«</w:t>
      </w:r>
      <w:r w:rsidRPr="00AD11EB">
        <w:rPr>
          <w:rFonts w:eastAsia="Calibri"/>
        </w:rPr>
        <w:t>антиотмывочного</w:t>
      </w:r>
      <w:r>
        <w:rPr>
          <w:rFonts w:eastAsia="Calibri"/>
        </w:rPr>
        <w:t>»</w:t>
      </w:r>
      <w:r w:rsidRPr="00AD11EB">
        <w:rPr>
          <w:rFonts w:eastAsia="Calibri"/>
        </w:rPr>
        <w:t xml:space="preserve"> законодательства по противодействию легализации  преступно нажитых доходов. Ювелирные изделия не эффективное средство для этих целей. Законодательство было навязано России западными странами, в соответствии с нормами </w:t>
      </w:r>
      <w:r w:rsidRPr="00AD11EB">
        <w:rPr>
          <w:rFonts w:eastAsia="Calibri"/>
          <w:lang w:val="en-US"/>
        </w:rPr>
        <w:t>FATF</w:t>
      </w:r>
      <w:r w:rsidRPr="00AD11EB">
        <w:rPr>
          <w:rFonts w:eastAsia="Calibri"/>
        </w:rPr>
        <w:t>.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</w:p>
    <w:p w:rsidR="00BE7468" w:rsidRPr="00AD11EB" w:rsidRDefault="00BE7468" w:rsidP="00BE7468">
      <w:pPr>
        <w:ind w:left="851"/>
        <w:jc w:val="both"/>
        <w:rPr>
          <w:rFonts w:eastAsia="Calibri"/>
        </w:rPr>
      </w:pPr>
      <w:r w:rsidRPr="00AD11EB">
        <w:rPr>
          <w:rFonts w:eastAsia="Calibri"/>
          <w:b/>
        </w:rPr>
        <w:t>4.</w:t>
      </w:r>
      <w:r w:rsidRPr="00AD11EB">
        <w:rPr>
          <w:rFonts w:eastAsia="Calibri"/>
        </w:rPr>
        <w:t xml:space="preserve"> Ввести мораторий на проведение плановых и внеплановых проверок сроком на один год, приостановить проведение начатых выездных проверок.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</w:p>
    <w:p w:rsidR="00BE7468" w:rsidRPr="00AD11EB" w:rsidRDefault="00BE7468" w:rsidP="00BE7468">
      <w:pPr>
        <w:ind w:left="851"/>
        <w:jc w:val="both"/>
        <w:rPr>
          <w:rFonts w:eastAsia="Calibri"/>
        </w:rPr>
      </w:pPr>
      <w:r w:rsidRPr="00AD11EB">
        <w:rPr>
          <w:rFonts w:eastAsia="Calibri"/>
          <w:b/>
        </w:rPr>
        <w:t>5.</w:t>
      </w:r>
      <w:r>
        <w:rPr>
          <w:rFonts w:eastAsia="Calibri"/>
          <w:b/>
        </w:rPr>
        <w:t xml:space="preserve"> </w:t>
      </w:r>
      <w:r w:rsidRPr="00AD11EB">
        <w:rPr>
          <w:rFonts w:eastAsia="Calibri"/>
        </w:rPr>
        <w:t>Пересмотреть нормативную базу, регулирующую оборот ДМДК. Имеется противоречие между частной собственностью на ДМДК и жестким государственным контролем за оборотом в части правил перевозки, хранения, учета, регламентации технологических процессов и предоставления отчетов. Это снижает инвестиционную привлекательность бизнеса из-за высоких издержек на администрирование обязательных требований.</w:t>
      </w:r>
    </w:p>
    <w:p w:rsidR="00BE7468" w:rsidRPr="00AD11EB" w:rsidRDefault="00BE7468" w:rsidP="00BE7468">
      <w:pPr>
        <w:ind w:left="851"/>
        <w:jc w:val="both"/>
        <w:rPr>
          <w:rFonts w:eastAsia="Calibri"/>
        </w:rPr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t>6.</w:t>
      </w:r>
      <w:r w:rsidRPr="00AD11EB">
        <w:t xml:space="preserve"> Изменить порядок ценообразования на драгоценные металлы для внутреннего рынка с целью повышения </w:t>
      </w:r>
      <w:r w:rsidRPr="00AD11EB">
        <w:rPr>
          <w:rFonts w:eastAsia="Calibri"/>
        </w:rPr>
        <w:t>конкурентоспособности</w:t>
      </w:r>
      <w:r w:rsidR="00E07C4C">
        <w:t xml:space="preserve"> отечественных производителей (</w:t>
      </w:r>
      <w:bookmarkStart w:id="0" w:name="_GoBack"/>
      <w:bookmarkEnd w:id="0"/>
      <w:r w:rsidRPr="00AD11EB">
        <w:t xml:space="preserve">установление дисконта к биржевой цене, введение экспортного налога, или экспортной пошлины, или введение ограничений на вывоз драгоценных металлов). Ввести ограничение на размер комиссионного вознаграждения коммерческих банков при реализации драгоценных металлов. 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t>7.</w:t>
      </w:r>
      <w:r w:rsidRPr="00AD11EB">
        <w:t xml:space="preserve"> Отменить ввозные пошлины на все виды цветных и синтетических камней и  бриллианты рассевом 0,2 карата, а также производственное оборудование для ювелирной промышленности. Эта мера необходима для повышения конкурентоспособности отечественных производителей.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t>8.</w:t>
      </w:r>
      <w:r w:rsidRPr="00AD11EB">
        <w:t xml:space="preserve"> Отменить двойной тариф государственной пошлины на опробование и клеймение ювелирных изделий с закрепленными камнями. Такая мер</w:t>
      </w:r>
      <w:r>
        <w:t>а</w:t>
      </w:r>
      <w:r w:rsidRPr="00AD11EB">
        <w:t xml:space="preserve"> уменьшит издержки производителей и позволит применять современную технологию производства.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lastRenderedPageBreak/>
        <w:t>9</w:t>
      </w:r>
      <w:r w:rsidRPr="00AD11EB">
        <w:t>. Установить добровольный порядок клеймения экспортируемой продукции. Эта мера позволит скрыть российское происхождение продукции и повысит ее конкурентоспособность.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t xml:space="preserve"> 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t>10.</w:t>
      </w:r>
      <w:r w:rsidRPr="00AD11EB">
        <w:t xml:space="preserve"> Отменить государственный  контроль при экспорте ювелирных изделий в формате </w:t>
      </w:r>
      <w:r w:rsidRPr="00AD11EB">
        <w:rPr>
          <w:lang w:val="en-US"/>
        </w:rPr>
        <w:t>B</w:t>
      </w:r>
      <w:r w:rsidRPr="00AD11EB">
        <w:t>2</w:t>
      </w:r>
      <w:r w:rsidRPr="00AD11EB">
        <w:rPr>
          <w:lang w:val="en-US"/>
        </w:rPr>
        <w:t>C</w:t>
      </w:r>
      <w:r w:rsidRPr="00AD11EB">
        <w:t>. Эта мера позволит осуществлять прямые продажи российской продукции непосредственно потребителям, минуя оптово-розничные структуры.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t xml:space="preserve"> </w:t>
      </w:r>
      <w:r w:rsidRPr="00AD11EB">
        <w:rPr>
          <w:b/>
        </w:rPr>
        <w:t>11.</w:t>
      </w:r>
      <w:r w:rsidRPr="00AD11EB">
        <w:t xml:space="preserve"> Установить предельный срок опробования, клеймения и маркировки продукции – 5 рабочих дней. Увеличение сроков нахождения продукции в ФПП РФ означает замораживание оборотных средств и нарушение технологического регламента производства.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  <w:r w:rsidRPr="00AD11EB">
        <w:rPr>
          <w:b/>
        </w:rPr>
        <w:t>12</w:t>
      </w:r>
      <w:r w:rsidRPr="00AD11EB">
        <w:t>. В срочном порядк</w:t>
      </w:r>
      <w:r>
        <w:t>е внести корректировки в нормы П</w:t>
      </w:r>
      <w:r w:rsidRPr="00AD11EB">
        <w:t>остановления Правительства № 270 от 26.02.21 , препятствующие бесперебойной работе ГИИС ДМДК, в форме и объем</w:t>
      </w:r>
      <w:r>
        <w:t>е</w:t>
      </w:r>
      <w:r w:rsidRPr="00AD11EB">
        <w:t>, согласованных с Минфином РФ</w:t>
      </w:r>
      <w:r>
        <w:t>.</w:t>
      </w:r>
    </w:p>
    <w:p w:rsidR="00BE7468" w:rsidRPr="00AD11EB" w:rsidRDefault="00BE7468" w:rsidP="00BE7468">
      <w:pPr>
        <w:tabs>
          <w:tab w:val="left" w:pos="576"/>
        </w:tabs>
        <w:ind w:left="851"/>
        <w:jc w:val="both"/>
      </w:pPr>
    </w:p>
    <w:p w:rsidR="00BE7468" w:rsidRDefault="00BE7468" w:rsidP="00BE7468">
      <w:pPr>
        <w:tabs>
          <w:tab w:val="left" w:pos="576"/>
        </w:tabs>
        <w:ind w:left="851"/>
      </w:pPr>
    </w:p>
    <w:p w:rsidR="00BE7468" w:rsidRDefault="00BE7468" w:rsidP="00BE7468">
      <w:pPr>
        <w:ind w:left="851"/>
      </w:pPr>
    </w:p>
    <w:p w:rsidR="003F0982" w:rsidRPr="00BE7468" w:rsidRDefault="003F0982" w:rsidP="00BE7468">
      <w:pPr>
        <w:ind w:left="851"/>
        <w:rPr>
          <w:rFonts w:eastAsia="Calibri"/>
          <w:szCs w:val="22"/>
        </w:rPr>
      </w:pPr>
    </w:p>
    <w:sectPr w:rsidR="003F0982" w:rsidRPr="00BE7468" w:rsidSect="00BE7468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A9" w:rsidRDefault="008D53A9" w:rsidP="0005793E">
      <w:r>
        <w:separator/>
      </w:r>
    </w:p>
  </w:endnote>
  <w:endnote w:type="continuationSeparator" w:id="0">
    <w:p w:rsidR="008D53A9" w:rsidRDefault="008D53A9" w:rsidP="000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A9" w:rsidRDefault="008D53A9" w:rsidP="0005793E">
      <w:r>
        <w:separator/>
      </w:r>
    </w:p>
  </w:footnote>
  <w:footnote w:type="continuationSeparator" w:id="0">
    <w:p w:rsidR="008D53A9" w:rsidRDefault="008D53A9" w:rsidP="0005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948990"/>
      <w:docPartObj>
        <w:docPartGallery w:val="Page Numbers (Top of Page)"/>
        <w:docPartUnique/>
      </w:docPartObj>
    </w:sdtPr>
    <w:sdtEndPr/>
    <w:sdtContent>
      <w:p w:rsidR="00E20ABF" w:rsidRDefault="00C254F5">
        <w:pPr>
          <w:pStyle w:val="aa"/>
          <w:jc w:val="center"/>
        </w:pPr>
        <w:r>
          <w:fldChar w:fldCharType="begin"/>
        </w:r>
        <w:r w:rsidR="00E20ABF">
          <w:instrText>PAGE   \* MERGEFORMAT</w:instrText>
        </w:r>
        <w:r>
          <w:fldChar w:fldCharType="separate"/>
        </w:r>
        <w:r w:rsidR="00E07C4C">
          <w:rPr>
            <w:noProof/>
          </w:rPr>
          <w:t>2</w:t>
        </w:r>
        <w:r>
          <w:fldChar w:fldCharType="end"/>
        </w:r>
      </w:p>
    </w:sdtContent>
  </w:sdt>
  <w:p w:rsidR="00E20ABF" w:rsidRDefault="00E20AB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EF7"/>
    <w:rsid w:val="00041EF7"/>
    <w:rsid w:val="0005793E"/>
    <w:rsid w:val="00094A68"/>
    <w:rsid w:val="000B243C"/>
    <w:rsid w:val="000D2CC7"/>
    <w:rsid w:val="000F1764"/>
    <w:rsid w:val="000F2AF3"/>
    <w:rsid w:val="000F7DE2"/>
    <w:rsid w:val="00114F95"/>
    <w:rsid w:val="0016279C"/>
    <w:rsid w:val="00175B58"/>
    <w:rsid w:val="00187D1E"/>
    <w:rsid w:val="001A2EB6"/>
    <w:rsid w:val="001B0570"/>
    <w:rsid w:val="001E3A81"/>
    <w:rsid w:val="0020457F"/>
    <w:rsid w:val="00225F0A"/>
    <w:rsid w:val="00265E55"/>
    <w:rsid w:val="00284A15"/>
    <w:rsid w:val="00295C98"/>
    <w:rsid w:val="00295D17"/>
    <w:rsid w:val="002C2AC7"/>
    <w:rsid w:val="00302C2A"/>
    <w:rsid w:val="00352AC5"/>
    <w:rsid w:val="00360663"/>
    <w:rsid w:val="003611ED"/>
    <w:rsid w:val="00365837"/>
    <w:rsid w:val="00382EEA"/>
    <w:rsid w:val="003E7575"/>
    <w:rsid w:val="003F0982"/>
    <w:rsid w:val="00403FA1"/>
    <w:rsid w:val="004042E3"/>
    <w:rsid w:val="004167D1"/>
    <w:rsid w:val="00464BF6"/>
    <w:rsid w:val="00470C50"/>
    <w:rsid w:val="004837D8"/>
    <w:rsid w:val="0049648D"/>
    <w:rsid w:val="004C52F0"/>
    <w:rsid w:val="004F2494"/>
    <w:rsid w:val="00540FCE"/>
    <w:rsid w:val="005706AB"/>
    <w:rsid w:val="00572B11"/>
    <w:rsid w:val="00576835"/>
    <w:rsid w:val="0058495C"/>
    <w:rsid w:val="005A67F9"/>
    <w:rsid w:val="005B2E88"/>
    <w:rsid w:val="005C2FE7"/>
    <w:rsid w:val="005F48DE"/>
    <w:rsid w:val="005F7A38"/>
    <w:rsid w:val="006174B3"/>
    <w:rsid w:val="00636286"/>
    <w:rsid w:val="0064214C"/>
    <w:rsid w:val="00666ED9"/>
    <w:rsid w:val="006A086B"/>
    <w:rsid w:val="006A26C7"/>
    <w:rsid w:val="006B011A"/>
    <w:rsid w:val="006D66F8"/>
    <w:rsid w:val="006E3580"/>
    <w:rsid w:val="006E35B9"/>
    <w:rsid w:val="006E6005"/>
    <w:rsid w:val="00706CD1"/>
    <w:rsid w:val="00735B72"/>
    <w:rsid w:val="0076164A"/>
    <w:rsid w:val="007A1994"/>
    <w:rsid w:val="007A1C11"/>
    <w:rsid w:val="007B5E2B"/>
    <w:rsid w:val="008200CA"/>
    <w:rsid w:val="00822833"/>
    <w:rsid w:val="00845A2B"/>
    <w:rsid w:val="00850907"/>
    <w:rsid w:val="008857CC"/>
    <w:rsid w:val="0089130A"/>
    <w:rsid w:val="008A258B"/>
    <w:rsid w:val="008D53A9"/>
    <w:rsid w:val="008F760B"/>
    <w:rsid w:val="00950237"/>
    <w:rsid w:val="009609F0"/>
    <w:rsid w:val="009A3CF9"/>
    <w:rsid w:val="009D44C0"/>
    <w:rsid w:val="009F6D44"/>
    <w:rsid w:val="00A0613F"/>
    <w:rsid w:val="00A10AA7"/>
    <w:rsid w:val="00A135E2"/>
    <w:rsid w:val="00A16ADF"/>
    <w:rsid w:val="00A32A43"/>
    <w:rsid w:val="00A83512"/>
    <w:rsid w:val="00AA022F"/>
    <w:rsid w:val="00AB517C"/>
    <w:rsid w:val="00AB70D5"/>
    <w:rsid w:val="00AF63F5"/>
    <w:rsid w:val="00BA15BF"/>
    <w:rsid w:val="00BB348C"/>
    <w:rsid w:val="00BC01DA"/>
    <w:rsid w:val="00BD780C"/>
    <w:rsid w:val="00BE7468"/>
    <w:rsid w:val="00C17BED"/>
    <w:rsid w:val="00C20D91"/>
    <w:rsid w:val="00C254F5"/>
    <w:rsid w:val="00C314AC"/>
    <w:rsid w:val="00C37908"/>
    <w:rsid w:val="00C83946"/>
    <w:rsid w:val="00CD2D6D"/>
    <w:rsid w:val="00CE429A"/>
    <w:rsid w:val="00CF1FD3"/>
    <w:rsid w:val="00D11D34"/>
    <w:rsid w:val="00D14B41"/>
    <w:rsid w:val="00D3361E"/>
    <w:rsid w:val="00D53F2F"/>
    <w:rsid w:val="00E07C4C"/>
    <w:rsid w:val="00E20ABF"/>
    <w:rsid w:val="00E2660A"/>
    <w:rsid w:val="00E32A25"/>
    <w:rsid w:val="00E35A76"/>
    <w:rsid w:val="00E41282"/>
    <w:rsid w:val="00E7369A"/>
    <w:rsid w:val="00E76584"/>
    <w:rsid w:val="00E86D8F"/>
    <w:rsid w:val="00EC3649"/>
    <w:rsid w:val="00EC65CC"/>
    <w:rsid w:val="00EF07DE"/>
    <w:rsid w:val="00EF23B5"/>
    <w:rsid w:val="00F15992"/>
    <w:rsid w:val="00F60DF4"/>
    <w:rsid w:val="00F94917"/>
    <w:rsid w:val="00F9524F"/>
    <w:rsid w:val="00FF036C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D577A-10D7-46A8-914A-3DDD79D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B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Другое_"/>
    <w:basedOn w:val="a0"/>
    <w:link w:val="a4"/>
    <w:rsid w:val="00EF0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EF07DE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0F17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F1764"/>
    <w:pPr>
      <w:widowControl w:val="0"/>
      <w:shd w:val="clear" w:color="auto" w:fill="FFFFFF"/>
      <w:spacing w:line="266" w:lineRule="auto"/>
      <w:ind w:firstLine="400"/>
    </w:pPr>
    <w:rPr>
      <w:sz w:val="28"/>
      <w:szCs w:val="28"/>
      <w:lang w:eastAsia="en-US"/>
    </w:rPr>
  </w:style>
  <w:style w:type="character" w:customStyle="1" w:styleId="a6">
    <w:name w:val="Цветовое выделение"/>
    <w:uiPriority w:val="99"/>
    <w:rsid w:val="00114F9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14F95"/>
    <w:rPr>
      <w:rFonts w:cs="Times New Roman"/>
      <w:b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14F9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Комментарий"/>
    <w:basedOn w:val="a"/>
    <w:next w:val="a"/>
    <w:uiPriority w:val="99"/>
    <w:rsid w:val="00114F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styleId="aa">
    <w:name w:val="header"/>
    <w:basedOn w:val="a"/>
    <w:link w:val="ab"/>
    <w:uiPriority w:val="99"/>
    <w:unhideWhenUsed/>
    <w:rsid w:val="00057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7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7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7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е вступил в силу"/>
    <w:basedOn w:val="a6"/>
    <w:uiPriority w:val="99"/>
    <w:rsid w:val="008200CA"/>
    <w:rPr>
      <w:rFonts w:cs="Times New Roman"/>
      <w:b w:val="0"/>
      <w:color w:val="000000"/>
    </w:rPr>
  </w:style>
  <w:style w:type="paragraph" w:customStyle="1" w:styleId="bd6ff683d8d0a42f228bf8a64b8551e1msonormalmrcssattr">
    <w:name w:val="bd6ff683d8d0a42f228bf8a64b8551e1msonormal_mr_css_attr"/>
    <w:basedOn w:val="a"/>
    <w:rsid w:val="00365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Manuale User</dc:creator>
  <cp:lastModifiedBy>User</cp:lastModifiedBy>
  <cp:revision>4</cp:revision>
  <cp:lastPrinted>2022-03-10T08:42:00Z</cp:lastPrinted>
  <dcterms:created xsi:type="dcterms:W3CDTF">2022-03-10T08:42:00Z</dcterms:created>
  <dcterms:modified xsi:type="dcterms:W3CDTF">2022-03-11T09:54:00Z</dcterms:modified>
</cp:coreProperties>
</file>